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F91E4" w14:textId="1F52A3F6" w:rsidR="003B2C5B" w:rsidRPr="004276E4" w:rsidRDefault="003B2C5B" w:rsidP="003B2C5B">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Pr="00734AB5">
        <w:rPr>
          <w:rFonts w:ascii="Arial" w:hAnsi="Arial" w:cs="Arial" w:hint="eastAsia"/>
          <w:b/>
          <w:bCs/>
          <w:lang w:val="en-US" w:eastAsia="en-US"/>
        </w:rPr>
        <w:t>R2-200014</w:t>
      </w:r>
      <w:r w:rsidR="00AA13C8">
        <w:rPr>
          <w:rFonts w:ascii="Arial" w:hAnsi="Arial" w:cs="Arial"/>
          <w:b/>
          <w:bCs/>
          <w:lang w:val="en-US" w:eastAsia="en-US"/>
        </w:rPr>
        <w:t>6</w:t>
      </w:r>
    </w:p>
    <w:bookmarkEnd w:id="0"/>
    <w:p w14:paraId="27CAEAD4" w14:textId="1EDD862E" w:rsidR="00D92427" w:rsidRPr="00A20554" w:rsidRDefault="003B2C5B" w:rsidP="003B2C5B">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417CF4">
        <w:rPr>
          <w:rFonts w:ascii="Arial" w:hAnsi="Arial" w:cs="Arial"/>
          <w:b/>
          <w:bCs/>
          <w:lang w:val="en-US" w:eastAsia="en-US"/>
        </w:rPr>
        <w:t>2</w:t>
      </w:r>
      <w:r w:rsidR="005D7D4B">
        <w:rPr>
          <w:rFonts w:ascii="Arial" w:hAnsi="Arial" w:cs="Arial"/>
          <w:b/>
          <w:bCs/>
          <w:lang w:val="en-US" w:eastAsia="en-US"/>
        </w:rPr>
        <w:t>4</w:t>
      </w:r>
      <w:bookmarkStart w:id="1" w:name="_GoBack"/>
      <w:bookmarkEnd w:id="1"/>
      <w:r w:rsidR="00417CF4" w:rsidRPr="00C74EF2">
        <w:rPr>
          <w:rFonts w:ascii="Arial" w:hAnsi="Arial" w:cs="Arial"/>
          <w:b/>
          <w:bCs/>
          <w:vertAlign w:val="superscript"/>
          <w:lang w:val="en-US" w:eastAsia="en-US"/>
        </w:rPr>
        <w:t>th</w:t>
      </w:r>
      <w:r w:rsidR="00417CF4">
        <w:rPr>
          <w:rFonts w:ascii="Arial" w:hAnsi="Arial" w:cs="Arial"/>
          <w:b/>
          <w:bCs/>
          <w:lang w:val="en-US" w:eastAsia="en-US"/>
        </w:rPr>
        <w:t> Feb – 6</w:t>
      </w:r>
      <w:r w:rsidR="00417CF4" w:rsidRPr="00C74EF2">
        <w:rPr>
          <w:rFonts w:ascii="Arial" w:hAnsi="Arial" w:cs="Arial"/>
          <w:b/>
          <w:bCs/>
          <w:vertAlign w:val="superscript"/>
          <w:lang w:val="en-US" w:eastAsia="en-US"/>
        </w:rPr>
        <w:t>th</w:t>
      </w:r>
      <w:r w:rsidR="00417CF4">
        <w:rPr>
          <w:rFonts w:ascii="Arial" w:hAnsi="Arial" w:cs="Arial"/>
          <w:b/>
          <w:bCs/>
          <w:lang w:val="en-US" w:eastAsia="en-US"/>
        </w:rPr>
        <w:t> Mar</w:t>
      </w:r>
      <w:r w:rsidRPr="00755974">
        <w:rPr>
          <w:rFonts w:ascii="Arial" w:hAnsi="Arial" w:cs="Arial"/>
          <w:b/>
          <w:bCs/>
          <w:lang w:val="en-US" w:eastAsia="en-US"/>
        </w:rPr>
        <w:t>, 2020</w:t>
      </w:r>
      <w:r w:rsidR="000C284A">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revision of </w:t>
      </w:r>
      <w:r w:rsidR="00FC6FAE" w:rsidRPr="00FC6FAE">
        <w:rPr>
          <w:rFonts w:ascii="Arial" w:hAnsi="Arial" w:cs="Arial"/>
          <w:b/>
          <w:bCs/>
          <w:lang w:val="en-US" w:eastAsia="en-US"/>
        </w:rPr>
        <w:t>R2-1914366</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E8E2FC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A72F5" w:rsidRPr="008A72F5">
        <w:rPr>
          <w:rFonts w:ascii="Arial" w:hAnsi="Arial" w:cs="Arial"/>
          <w:b/>
          <w:bCs/>
          <w:lang w:val="en-US" w:eastAsia="en-US"/>
        </w:rPr>
        <w:t>Issue on the Autonomous BWP Switching in NR-U</w:t>
      </w:r>
    </w:p>
    <w:p w14:paraId="12450CE5" w14:textId="5BC6C75D"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882F34" w:rsidRPr="00882F34">
        <w:rPr>
          <w:rFonts w:ascii="Arial" w:hAnsi="Arial" w:cs="Arial"/>
          <w:b/>
          <w:bCs/>
          <w:lang w:val="en-US" w:eastAsia="en-US"/>
        </w:rPr>
        <w:t>6.2.2.1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4733EF">
      <w:pPr>
        <w:pStyle w:val="1"/>
        <w:pBdr>
          <w:top w:val="single" w:sz="12" w:space="1" w:color="auto"/>
        </w:pBdr>
        <w:tabs>
          <w:tab w:val="left" w:pos="432"/>
        </w:tabs>
        <w:spacing w:before="120" w:after="120"/>
        <w:ind w:left="431" w:hanging="431"/>
        <w:jc w:val="left"/>
      </w:pPr>
      <w:bookmarkStart w:id="2" w:name="_Ref165266342"/>
      <w:r>
        <w:t>Introduction</w:t>
      </w:r>
      <w:bookmarkEnd w:id="2"/>
    </w:p>
    <w:p w14:paraId="2C0C33FD" w14:textId="6A410468" w:rsidR="00DA44DE" w:rsidRDefault="00DA44DE" w:rsidP="00DA44DE">
      <w:r>
        <w:rPr>
          <w:bCs/>
          <w:szCs w:val="22"/>
        </w:rPr>
        <w:t>According to the current MAC specification, the UE could autonomously switch its active BWP when there is no PRACH resource on the active BWP [1]. However</w:t>
      </w:r>
      <w:r w:rsidR="001F7A62">
        <w:rPr>
          <w:bCs/>
          <w:szCs w:val="22"/>
        </w:rPr>
        <w:t>,</w:t>
      </w:r>
      <w:r>
        <w:rPr>
          <w:bCs/>
          <w:szCs w:val="22"/>
        </w:rPr>
        <w:t xml:space="preserve"> the current specification only allows the UE to switch to the initial BWP when there is no PRACH resource on the active BWP. In this contribution, we discuss the issue related to the UE autonomous BWP switching.</w:t>
      </w:r>
    </w:p>
    <w:p w14:paraId="6B332CC7" w14:textId="77777777" w:rsidR="00DA44DE" w:rsidRDefault="00DA44DE" w:rsidP="00E8681F">
      <w:pPr>
        <w:pStyle w:val="1"/>
        <w:tabs>
          <w:tab w:val="left" w:pos="432"/>
        </w:tabs>
        <w:spacing w:before="120" w:after="120"/>
        <w:ind w:left="431" w:hanging="431"/>
        <w:jc w:val="left"/>
      </w:pPr>
      <w:r>
        <w:rPr>
          <w:rFonts w:hint="eastAsia"/>
        </w:rPr>
        <w:t>Discussion</w:t>
      </w:r>
    </w:p>
    <w:p w14:paraId="2549AD27" w14:textId="77777777" w:rsidR="00DA44DE" w:rsidRDefault="00DA44DE" w:rsidP="00E8681F">
      <w:pPr>
        <w:pStyle w:val="2"/>
        <w:spacing w:before="120" w:after="120"/>
        <w:ind w:left="578" w:hanging="578"/>
      </w:pPr>
      <w:r>
        <w:t>A</w:t>
      </w:r>
      <w:r w:rsidRPr="00EA6682">
        <w:t>utonomous</w:t>
      </w:r>
      <w:r>
        <w:t xml:space="preserve"> </w:t>
      </w:r>
      <w:r w:rsidRPr="00AD2DFB">
        <w:t>BWP</w:t>
      </w:r>
      <w:r>
        <w:t xml:space="preserve"> switching</w:t>
      </w:r>
    </w:p>
    <w:p w14:paraId="16848983" w14:textId="77777777" w:rsidR="00DA44DE" w:rsidRPr="00E32FDC" w:rsidRDefault="00DA44DE" w:rsidP="00DA44DE">
      <w:pPr>
        <w:rPr>
          <w:lang w:eastAsia="x-none"/>
        </w:rPr>
      </w:pPr>
      <w:r>
        <w:rPr>
          <w:lang w:eastAsia="x-none"/>
        </w:rPr>
        <w:t xml:space="preserve">According to the current NR specification [1] as quoted below, if an active BWP is not configured with the PRACH resource, the UE would autonomously switch to the initial BWP. The reason for not configuring the PRACH resource on an active BWP is that the PRACH resource which is only temporarily used for the RACH procedure would require lots of PRBs reserved for each active BWP. And if the UE is configured with 4 BWP(s), then each active BWP would require the reserved PRACH resources. </w:t>
      </w:r>
    </w:p>
    <w:tbl>
      <w:tblPr>
        <w:tblStyle w:val="ac"/>
        <w:tblW w:w="0" w:type="auto"/>
        <w:tblLook w:val="04A0" w:firstRow="1" w:lastRow="0" w:firstColumn="1" w:lastColumn="0" w:noHBand="0" w:noVBand="1"/>
      </w:tblPr>
      <w:tblGrid>
        <w:gridCol w:w="9855"/>
      </w:tblGrid>
      <w:tr w:rsidR="00DA44DE" w14:paraId="472554C4" w14:textId="77777777" w:rsidTr="00CE1999">
        <w:tc>
          <w:tcPr>
            <w:tcW w:w="9855" w:type="dxa"/>
          </w:tcPr>
          <w:p w14:paraId="759C1FFB" w14:textId="77777777" w:rsidR="00DA44DE" w:rsidRPr="00EE242F" w:rsidRDefault="00DA44DE" w:rsidP="0032581B">
            <w:pPr>
              <w:rPr>
                <w:sz w:val="20"/>
                <w:lang w:eastAsia="ko-KR"/>
              </w:rPr>
            </w:pPr>
            <w:r w:rsidRPr="00EE242F">
              <w:rPr>
                <w:sz w:val="20"/>
                <w:lang w:eastAsia="ko-KR"/>
              </w:rPr>
              <w:t>Upon initiation of the Random Access procedure on a Serving Cell, after the selection of carrier for performing Random Access procedure as specified in clause 5.1.1, the MAC entity shall for the selected carrier of this Serving Cell:</w:t>
            </w:r>
          </w:p>
          <w:p w14:paraId="0183E5A3" w14:textId="77777777" w:rsidR="00DA44DE" w:rsidRPr="00EE242F" w:rsidRDefault="00DA44DE" w:rsidP="00841505">
            <w:pPr>
              <w:pStyle w:val="B1"/>
              <w:spacing w:after="120" w:line="288" w:lineRule="auto"/>
              <w:rPr>
                <w:lang w:eastAsia="ko-KR"/>
              </w:rPr>
            </w:pPr>
            <w:r w:rsidRPr="00EE242F">
              <w:rPr>
                <w:highlight w:val="yellow"/>
                <w:lang w:eastAsia="ko-KR"/>
              </w:rPr>
              <w:t>1&gt;</w:t>
            </w:r>
            <w:r w:rsidRPr="00EE242F">
              <w:rPr>
                <w:highlight w:val="yellow"/>
                <w:lang w:eastAsia="ko-KR"/>
              </w:rPr>
              <w:tab/>
              <w:t>if PRACH occasions are not configured for the active UL BWP:</w:t>
            </w:r>
          </w:p>
          <w:p w14:paraId="3C0D3EA9" w14:textId="77777777" w:rsidR="00DA44DE" w:rsidRPr="00EE242F" w:rsidRDefault="00DA44DE" w:rsidP="00841505">
            <w:pPr>
              <w:pStyle w:val="B2"/>
              <w:spacing w:after="120" w:line="288" w:lineRule="auto"/>
              <w:rPr>
                <w:lang w:eastAsia="ko-KR"/>
              </w:rPr>
            </w:pPr>
            <w:r w:rsidRPr="00EE242F">
              <w:rPr>
                <w:lang w:eastAsia="ko-KR"/>
              </w:rPr>
              <w:t>2&gt;</w:t>
            </w:r>
            <w:r w:rsidRPr="00EE242F">
              <w:rPr>
                <w:lang w:eastAsia="ko-KR"/>
              </w:rPr>
              <w:tab/>
              <w:t xml:space="preserve">switch the active UL BWP to BWP indicated by </w:t>
            </w:r>
            <w:proofErr w:type="spellStart"/>
            <w:r w:rsidRPr="00EE242F">
              <w:rPr>
                <w:i/>
                <w:lang w:eastAsia="ko-KR"/>
              </w:rPr>
              <w:t>initialUplinkBWP</w:t>
            </w:r>
            <w:proofErr w:type="spellEnd"/>
            <w:r w:rsidRPr="00EE242F">
              <w:rPr>
                <w:lang w:eastAsia="ko-KR"/>
              </w:rPr>
              <w:t>;</w:t>
            </w:r>
          </w:p>
          <w:p w14:paraId="6329A5D2" w14:textId="77777777" w:rsidR="00DA44DE" w:rsidRPr="00EE242F" w:rsidRDefault="00DA44DE" w:rsidP="00841505">
            <w:pPr>
              <w:pStyle w:val="B2"/>
              <w:spacing w:after="120" w:line="288" w:lineRule="auto"/>
              <w:rPr>
                <w:lang w:eastAsia="ko-KR"/>
              </w:rPr>
            </w:pPr>
            <w:r w:rsidRPr="00EE242F">
              <w:rPr>
                <w:lang w:eastAsia="ko-KR"/>
              </w:rPr>
              <w:t>2&gt;</w:t>
            </w:r>
            <w:r w:rsidRPr="00EE242F">
              <w:rPr>
                <w:lang w:eastAsia="ko-KR"/>
              </w:rPr>
              <w:tab/>
              <w:t xml:space="preserve">if the Serving Cell is a </w:t>
            </w:r>
            <w:proofErr w:type="spellStart"/>
            <w:r w:rsidRPr="00EE242F">
              <w:rPr>
                <w:lang w:eastAsia="ko-KR"/>
              </w:rPr>
              <w:t>SpCell</w:t>
            </w:r>
            <w:proofErr w:type="spellEnd"/>
            <w:r w:rsidRPr="00EE242F">
              <w:rPr>
                <w:lang w:eastAsia="ko-KR"/>
              </w:rPr>
              <w:t>:</w:t>
            </w:r>
          </w:p>
          <w:p w14:paraId="4FCB5915" w14:textId="77777777" w:rsidR="00DA44DE" w:rsidRPr="00A1549F" w:rsidRDefault="00DA44DE" w:rsidP="00544909">
            <w:pPr>
              <w:pStyle w:val="B3"/>
              <w:spacing w:after="0" w:line="288" w:lineRule="auto"/>
              <w:rPr>
                <w:lang w:eastAsia="ko-KR"/>
              </w:rPr>
            </w:pPr>
            <w:r w:rsidRPr="00EE242F">
              <w:rPr>
                <w:highlight w:val="yellow"/>
                <w:lang w:eastAsia="ko-KR"/>
              </w:rPr>
              <w:t>3&gt;</w:t>
            </w:r>
            <w:r w:rsidRPr="00EE242F">
              <w:rPr>
                <w:highlight w:val="yellow"/>
                <w:lang w:eastAsia="ko-KR"/>
              </w:rPr>
              <w:tab/>
              <w:t xml:space="preserve">switch the active DL BWP to BWP indicated by </w:t>
            </w:r>
            <w:proofErr w:type="spellStart"/>
            <w:r w:rsidRPr="00EE242F">
              <w:rPr>
                <w:i/>
                <w:highlight w:val="yellow"/>
                <w:lang w:eastAsia="ko-KR"/>
              </w:rPr>
              <w:t>initialDownlinkBWP</w:t>
            </w:r>
            <w:proofErr w:type="spellEnd"/>
            <w:r w:rsidRPr="00EE242F">
              <w:rPr>
                <w:highlight w:val="yellow"/>
                <w:lang w:eastAsia="ko-KR"/>
              </w:rPr>
              <w:t>.</w:t>
            </w:r>
          </w:p>
        </w:tc>
      </w:tr>
    </w:tbl>
    <w:p w14:paraId="7E31D0BF" w14:textId="77777777" w:rsidR="00DA44DE" w:rsidRPr="00A44AA8" w:rsidRDefault="00DA44DE" w:rsidP="00F34AB2">
      <w:pPr>
        <w:spacing w:before="120"/>
        <w:rPr>
          <w:lang w:eastAsia="x-none"/>
        </w:rPr>
      </w:pPr>
      <w:r>
        <w:rPr>
          <w:lang w:eastAsia="x-none"/>
        </w:rPr>
        <w:t xml:space="preserve">For NR-U, if lots of UE(s) autonomously switch to the initial BWP for the RACH procedure and the initial BWP is temporarily congested, then the autonomous switching of the BWP would cause the target BWP even more congested. To achieve a better balance on the PRACH resource allocation and the avoidance of congesting the initial BWP, we consider that if the UE has the RSSI/CO measurement result of the initial BWP, the UE should decide whether to autonomously switch to the target BWP based on the RSSI/CO measurement result of the target BWP, and the UE should be allowed to switch to any BWP with available PRACH resource. Given that the serving cell measurement object would most likely be configured in the initial BWP. </w:t>
      </w:r>
    </w:p>
    <w:p w14:paraId="58221EA7" w14:textId="77777777" w:rsidR="00DA44DE" w:rsidRDefault="00DA44DE" w:rsidP="00DA44DE">
      <w:pPr>
        <w:rPr>
          <w:b/>
          <w:lang w:eastAsia="x-none"/>
        </w:rPr>
      </w:pPr>
      <w:r>
        <w:rPr>
          <w:b/>
          <w:lang w:eastAsia="x-none"/>
        </w:rPr>
        <w:t xml:space="preserve">Proposal 1: If PRACH resource is not configured in the active BWP, the UE is allowed to switch to any BWP configured with PRACH resource. </w:t>
      </w:r>
    </w:p>
    <w:p w14:paraId="6050CA03" w14:textId="7FE8A565" w:rsidR="00DA44DE" w:rsidRPr="00C17150" w:rsidRDefault="00DA44DE" w:rsidP="00DA44DE">
      <w:pPr>
        <w:rPr>
          <w:b/>
          <w:lang w:eastAsia="x-none"/>
        </w:rPr>
      </w:pPr>
      <w:r w:rsidRPr="00C17150">
        <w:rPr>
          <w:b/>
          <w:lang w:eastAsia="x-none"/>
        </w:rPr>
        <w:t>Proposal</w:t>
      </w:r>
      <w:r>
        <w:rPr>
          <w:b/>
          <w:lang w:eastAsia="x-none"/>
        </w:rPr>
        <w:t xml:space="preserve"> 2</w:t>
      </w:r>
      <w:r w:rsidRPr="00C17150">
        <w:rPr>
          <w:b/>
          <w:lang w:eastAsia="x-none"/>
        </w:rPr>
        <w:t xml:space="preserve">: </w:t>
      </w:r>
      <w:r>
        <w:rPr>
          <w:b/>
          <w:lang w:eastAsia="x-none"/>
        </w:rPr>
        <w:t>The UE selects a BWP which is not congested when the UE switches its BWP due to PRACH resource not configured in the active BWP</w:t>
      </w:r>
      <w:r w:rsidRPr="00C17150">
        <w:rPr>
          <w:b/>
          <w:lang w:eastAsia="x-none"/>
        </w:rPr>
        <w:t>.</w:t>
      </w:r>
    </w:p>
    <w:p w14:paraId="1662BD9E" w14:textId="77777777" w:rsidR="00DA44DE" w:rsidRDefault="00DA44DE" w:rsidP="0019364E">
      <w:pPr>
        <w:pStyle w:val="1"/>
        <w:spacing w:before="120" w:after="120"/>
        <w:ind w:left="431" w:hanging="431"/>
        <w:jc w:val="left"/>
      </w:pPr>
      <w:r>
        <w:lastRenderedPageBreak/>
        <w:t>Conclusions</w:t>
      </w:r>
    </w:p>
    <w:p w14:paraId="651118C8" w14:textId="77777777" w:rsidR="00DA44DE" w:rsidRDefault="00DA44DE" w:rsidP="00DA44DE">
      <w:pPr>
        <w:spacing w:afterLines="50" w:line="240" w:lineRule="auto"/>
        <w:jc w:val="left"/>
      </w:pPr>
      <w:r>
        <w:t xml:space="preserve">Based on the analysis given above, we have the following </w:t>
      </w:r>
      <w:r>
        <w:rPr>
          <w:rFonts w:hint="eastAsia"/>
        </w:rPr>
        <w:t>p</w:t>
      </w:r>
      <w:r>
        <w:t>roposals</w:t>
      </w:r>
      <w:r>
        <w:rPr>
          <w:rFonts w:hint="eastAsia"/>
        </w:rPr>
        <w:t>：</w:t>
      </w:r>
    </w:p>
    <w:p w14:paraId="5826511E" w14:textId="77777777" w:rsidR="00610D83" w:rsidRDefault="00610D83" w:rsidP="00610D83">
      <w:pPr>
        <w:rPr>
          <w:b/>
          <w:lang w:eastAsia="x-none"/>
        </w:rPr>
      </w:pPr>
      <w:r>
        <w:rPr>
          <w:b/>
          <w:lang w:eastAsia="x-none"/>
        </w:rPr>
        <w:t xml:space="preserve">Proposal 1: If PRACH resource is not configured in the active BWP, the UE is allowed to switch to any BWP configured with PRACH resource. </w:t>
      </w:r>
    </w:p>
    <w:p w14:paraId="2C81F4C6" w14:textId="2E137F17" w:rsidR="00BC57A0" w:rsidRPr="00DA59DF" w:rsidRDefault="00610D83" w:rsidP="00DA44DE">
      <w:pPr>
        <w:rPr>
          <w:b/>
          <w:lang w:eastAsia="x-none"/>
        </w:rPr>
      </w:pPr>
      <w:r w:rsidRPr="00C17150">
        <w:rPr>
          <w:b/>
          <w:lang w:eastAsia="x-none"/>
        </w:rPr>
        <w:t>Proposal</w:t>
      </w:r>
      <w:r>
        <w:rPr>
          <w:b/>
          <w:lang w:eastAsia="x-none"/>
        </w:rPr>
        <w:t xml:space="preserve"> 2</w:t>
      </w:r>
      <w:r w:rsidRPr="00C17150">
        <w:rPr>
          <w:b/>
          <w:lang w:eastAsia="x-none"/>
        </w:rPr>
        <w:t xml:space="preserve">: </w:t>
      </w:r>
      <w:r>
        <w:rPr>
          <w:b/>
          <w:lang w:eastAsia="x-none"/>
        </w:rPr>
        <w:t>The UE selects a BWP which is not congested when the UE switches its BWP due to PRACH resource not configured in the active BWP</w:t>
      </w:r>
      <w:r w:rsidRPr="00C17150">
        <w:rPr>
          <w:b/>
          <w:lang w:eastAsia="x-none"/>
        </w:rPr>
        <w:t>.</w:t>
      </w:r>
    </w:p>
    <w:p w14:paraId="513DE901" w14:textId="77777777" w:rsidR="00DA44DE" w:rsidRDefault="00DA44DE" w:rsidP="0019364E">
      <w:pPr>
        <w:pStyle w:val="1"/>
        <w:tabs>
          <w:tab w:val="left" w:pos="432"/>
        </w:tabs>
        <w:spacing w:before="120" w:after="120" w:line="240" w:lineRule="auto"/>
        <w:ind w:left="0" w:firstLine="0"/>
        <w:jc w:val="left"/>
      </w:pPr>
      <w:bookmarkStart w:id="3" w:name="_Toc502437832"/>
      <w:r>
        <w:t>Reference</w:t>
      </w:r>
    </w:p>
    <w:bookmarkEnd w:id="3"/>
    <w:p w14:paraId="25E8B68E" w14:textId="66D4DE47" w:rsidR="00505391" w:rsidRDefault="00DA44DE" w:rsidP="00FB39DC">
      <w:pPr>
        <w:spacing w:afterLines="50" w:line="240" w:lineRule="auto"/>
        <w:jc w:val="left"/>
      </w:pPr>
      <w:r>
        <w:t xml:space="preserve">[1] 3GPP TS 38.321, “NR; </w:t>
      </w:r>
      <w:r w:rsidRPr="00B9580D">
        <w:t>Medium Access Control (MAC) protocol specification</w:t>
      </w:r>
      <w:r>
        <w:t>”</w:t>
      </w:r>
    </w:p>
    <w:sectPr w:rsidR="0050539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D0A30" w14:textId="77777777" w:rsidR="00812609" w:rsidRDefault="00812609">
      <w:pPr>
        <w:spacing w:after="0" w:line="240" w:lineRule="auto"/>
      </w:pPr>
      <w:r>
        <w:separator/>
      </w:r>
    </w:p>
  </w:endnote>
  <w:endnote w:type="continuationSeparator" w:id="0">
    <w:p w14:paraId="013504E6" w14:textId="77777777" w:rsidR="00812609" w:rsidRDefault="0081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51009" w14:textId="77777777" w:rsidR="00812609" w:rsidRDefault="00812609">
      <w:pPr>
        <w:spacing w:after="0" w:line="240" w:lineRule="auto"/>
      </w:pPr>
      <w:r>
        <w:separator/>
      </w:r>
    </w:p>
  </w:footnote>
  <w:footnote w:type="continuationSeparator" w:id="0">
    <w:p w14:paraId="5C268594" w14:textId="77777777" w:rsidR="00812609" w:rsidRDefault="008126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3"/>
  </w:num>
  <w:num w:numId="5">
    <w:abstractNumId w:val="11"/>
  </w:num>
  <w:num w:numId="6">
    <w:abstractNumId w:val="26"/>
  </w:num>
  <w:num w:numId="7">
    <w:abstractNumId w:val="27"/>
  </w:num>
  <w:num w:numId="8">
    <w:abstractNumId w:val="27"/>
  </w:num>
  <w:num w:numId="9">
    <w:abstractNumId w:val="10"/>
  </w:num>
  <w:num w:numId="10">
    <w:abstractNumId w:val="0"/>
  </w:num>
  <w:num w:numId="11">
    <w:abstractNumId w:val="1"/>
  </w:num>
  <w:num w:numId="12">
    <w:abstractNumId w:val="0"/>
  </w:num>
  <w:num w:numId="13">
    <w:abstractNumId w:val="0"/>
  </w:num>
  <w:num w:numId="14">
    <w:abstractNumId w:val="4"/>
  </w:num>
  <w:num w:numId="15">
    <w:abstractNumId w:val="14"/>
  </w:num>
  <w:num w:numId="16">
    <w:abstractNumId w:val="0"/>
  </w:num>
  <w:num w:numId="17">
    <w:abstractNumId w:val="9"/>
  </w:num>
  <w:num w:numId="18">
    <w:abstractNumId w:val="16"/>
  </w:num>
  <w:num w:numId="19">
    <w:abstractNumId w:val="22"/>
  </w:num>
  <w:num w:numId="20">
    <w:abstractNumId w:val="24"/>
  </w:num>
  <w:num w:numId="21">
    <w:abstractNumId w:val="0"/>
  </w:num>
  <w:num w:numId="22">
    <w:abstractNumId w:val="13"/>
  </w:num>
  <w:num w:numId="23">
    <w:abstractNumId w:val="20"/>
  </w:num>
  <w:num w:numId="24">
    <w:abstractNumId w:val="18"/>
  </w:num>
  <w:num w:numId="25">
    <w:abstractNumId w:val="15"/>
  </w:num>
  <w:num w:numId="26">
    <w:abstractNumId w:val="21"/>
  </w:num>
  <w:num w:numId="27">
    <w:abstractNumId w:val="5"/>
  </w:num>
  <w:num w:numId="28">
    <w:abstractNumId w:val="0"/>
  </w:num>
  <w:num w:numId="29">
    <w:abstractNumId w:val="19"/>
  </w:num>
  <w:num w:numId="30">
    <w:abstractNumId w:val="7"/>
  </w:num>
  <w:num w:numId="31">
    <w:abstractNumId w:val="8"/>
  </w:num>
  <w:num w:numId="32">
    <w:abstractNumId w:val="28"/>
  </w:num>
  <w:num w:numId="33">
    <w:abstractNumId w:val="23"/>
  </w:num>
  <w:num w:numId="34">
    <w:abstractNumId w:val="6"/>
  </w:num>
  <w:num w:numId="35">
    <w:abstractNumId w:val="25"/>
  </w:num>
  <w:num w:numId="36">
    <w:abstractNumId w:val="2"/>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otaAI6XusQsAAAA"/>
  </w:docVars>
  <w:rsids>
    <w:rsidRoot w:val="00703220"/>
    <w:rsid w:val="00000AEF"/>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80D"/>
    <w:rsid w:val="00013A3B"/>
    <w:rsid w:val="00013F61"/>
    <w:rsid w:val="000143D0"/>
    <w:rsid w:val="000154C5"/>
    <w:rsid w:val="000168B4"/>
    <w:rsid w:val="000168F5"/>
    <w:rsid w:val="00016AAF"/>
    <w:rsid w:val="00016D91"/>
    <w:rsid w:val="000178FF"/>
    <w:rsid w:val="00017AAC"/>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9D1"/>
    <w:rsid w:val="00075EB2"/>
    <w:rsid w:val="000761EB"/>
    <w:rsid w:val="000762F4"/>
    <w:rsid w:val="00076D3C"/>
    <w:rsid w:val="00076EC4"/>
    <w:rsid w:val="00077E34"/>
    <w:rsid w:val="00077EE0"/>
    <w:rsid w:val="000803A0"/>
    <w:rsid w:val="00082C74"/>
    <w:rsid w:val="00083BD2"/>
    <w:rsid w:val="00083C4D"/>
    <w:rsid w:val="00083E8A"/>
    <w:rsid w:val="00084367"/>
    <w:rsid w:val="00086B41"/>
    <w:rsid w:val="00086FB4"/>
    <w:rsid w:val="00090031"/>
    <w:rsid w:val="000902B7"/>
    <w:rsid w:val="00090B25"/>
    <w:rsid w:val="00090CFA"/>
    <w:rsid w:val="00090DFC"/>
    <w:rsid w:val="00091492"/>
    <w:rsid w:val="00091792"/>
    <w:rsid w:val="0009216B"/>
    <w:rsid w:val="00093179"/>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7A9C"/>
    <w:rsid w:val="000C0A8B"/>
    <w:rsid w:val="000C0C55"/>
    <w:rsid w:val="000C10DA"/>
    <w:rsid w:val="000C1737"/>
    <w:rsid w:val="000C1C0B"/>
    <w:rsid w:val="000C284A"/>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BF"/>
    <w:rsid w:val="000D3164"/>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231C"/>
    <w:rsid w:val="000F3711"/>
    <w:rsid w:val="000F3C57"/>
    <w:rsid w:val="000F49A2"/>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D9F"/>
    <w:rsid w:val="00112E0B"/>
    <w:rsid w:val="00113507"/>
    <w:rsid w:val="001141C8"/>
    <w:rsid w:val="00114657"/>
    <w:rsid w:val="00114731"/>
    <w:rsid w:val="00115666"/>
    <w:rsid w:val="00115741"/>
    <w:rsid w:val="00115BDD"/>
    <w:rsid w:val="00115EBC"/>
    <w:rsid w:val="001173C2"/>
    <w:rsid w:val="001179FA"/>
    <w:rsid w:val="00117A55"/>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5E07"/>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43F"/>
    <w:rsid w:val="00174DD5"/>
    <w:rsid w:val="001755AE"/>
    <w:rsid w:val="00176A05"/>
    <w:rsid w:val="00177019"/>
    <w:rsid w:val="0018121D"/>
    <w:rsid w:val="0018172E"/>
    <w:rsid w:val="00182317"/>
    <w:rsid w:val="0018299F"/>
    <w:rsid w:val="00182CAD"/>
    <w:rsid w:val="0018320D"/>
    <w:rsid w:val="001833A9"/>
    <w:rsid w:val="0018379C"/>
    <w:rsid w:val="0018522A"/>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364E"/>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B6D0B"/>
    <w:rsid w:val="001C0721"/>
    <w:rsid w:val="001C262B"/>
    <w:rsid w:val="001C2A81"/>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1F7A62"/>
    <w:rsid w:val="00201BE0"/>
    <w:rsid w:val="0020307D"/>
    <w:rsid w:val="00203669"/>
    <w:rsid w:val="00203E23"/>
    <w:rsid w:val="00203E47"/>
    <w:rsid w:val="00204DB4"/>
    <w:rsid w:val="0020504D"/>
    <w:rsid w:val="00205CC0"/>
    <w:rsid w:val="00205E07"/>
    <w:rsid w:val="00205EB7"/>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12C"/>
    <w:rsid w:val="00215C6F"/>
    <w:rsid w:val="002167C5"/>
    <w:rsid w:val="00216839"/>
    <w:rsid w:val="00217011"/>
    <w:rsid w:val="00217669"/>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A2B"/>
    <w:rsid w:val="002317B9"/>
    <w:rsid w:val="002319DE"/>
    <w:rsid w:val="00232169"/>
    <w:rsid w:val="0023224E"/>
    <w:rsid w:val="002323CD"/>
    <w:rsid w:val="002337C7"/>
    <w:rsid w:val="00233CA7"/>
    <w:rsid w:val="0023406B"/>
    <w:rsid w:val="002340B7"/>
    <w:rsid w:val="002340E5"/>
    <w:rsid w:val="0023525F"/>
    <w:rsid w:val="00236B24"/>
    <w:rsid w:val="00237942"/>
    <w:rsid w:val="002413B5"/>
    <w:rsid w:val="002415D1"/>
    <w:rsid w:val="00242110"/>
    <w:rsid w:val="0024265C"/>
    <w:rsid w:val="00242760"/>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7855"/>
    <w:rsid w:val="00280A0B"/>
    <w:rsid w:val="0028191D"/>
    <w:rsid w:val="0028226F"/>
    <w:rsid w:val="00282505"/>
    <w:rsid w:val="0028294A"/>
    <w:rsid w:val="002829D8"/>
    <w:rsid w:val="0028382F"/>
    <w:rsid w:val="00283BA3"/>
    <w:rsid w:val="00283CB6"/>
    <w:rsid w:val="00284371"/>
    <w:rsid w:val="00286563"/>
    <w:rsid w:val="002866C8"/>
    <w:rsid w:val="002907AA"/>
    <w:rsid w:val="002907C3"/>
    <w:rsid w:val="00290FFF"/>
    <w:rsid w:val="002918E6"/>
    <w:rsid w:val="002919E4"/>
    <w:rsid w:val="00291FBB"/>
    <w:rsid w:val="002920F3"/>
    <w:rsid w:val="002923A4"/>
    <w:rsid w:val="00292E26"/>
    <w:rsid w:val="0029355F"/>
    <w:rsid w:val="00293D6D"/>
    <w:rsid w:val="00294F3B"/>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7828"/>
    <w:rsid w:val="002B00BB"/>
    <w:rsid w:val="002B01D2"/>
    <w:rsid w:val="002B0452"/>
    <w:rsid w:val="002B0886"/>
    <w:rsid w:val="002B0FF4"/>
    <w:rsid w:val="002B1073"/>
    <w:rsid w:val="002B14FA"/>
    <w:rsid w:val="002B1971"/>
    <w:rsid w:val="002B1F4B"/>
    <w:rsid w:val="002B260C"/>
    <w:rsid w:val="002B49DD"/>
    <w:rsid w:val="002B5314"/>
    <w:rsid w:val="002B5CCF"/>
    <w:rsid w:val="002B5DBF"/>
    <w:rsid w:val="002B5F80"/>
    <w:rsid w:val="002B6079"/>
    <w:rsid w:val="002B6114"/>
    <w:rsid w:val="002B6243"/>
    <w:rsid w:val="002B63F8"/>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81B"/>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6A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90755"/>
    <w:rsid w:val="00390E42"/>
    <w:rsid w:val="00391B1D"/>
    <w:rsid w:val="00391F0D"/>
    <w:rsid w:val="0039231A"/>
    <w:rsid w:val="00392784"/>
    <w:rsid w:val="00392ABE"/>
    <w:rsid w:val="00392B8C"/>
    <w:rsid w:val="0039300F"/>
    <w:rsid w:val="00393353"/>
    <w:rsid w:val="00393A4A"/>
    <w:rsid w:val="00394601"/>
    <w:rsid w:val="00394836"/>
    <w:rsid w:val="003951F4"/>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783"/>
    <w:rsid w:val="003B039C"/>
    <w:rsid w:val="003B18C2"/>
    <w:rsid w:val="003B1A82"/>
    <w:rsid w:val="003B2547"/>
    <w:rsid w:val="003B2C5B"/>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3D7A"/>
    <w:rsid w:val="003D5433"/>
    <w:rsid w:val="003D5A84"/>
    <w:rsid w:val="003D629F"/>
    <w:rsid w:val="003D6376"/>
    <w:rsid w:val="003D637A"/>
    <w:rsid w:val="003D7393"/>
    <w:rsid w:val="003D74B2"/>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B9A"/>
    <w:rsid w:val="003F17AD"/>
    <w:rsid w:val="003F2934"/>
    <w:rsid w:val="003F2E1D"/>
    <w:rsid w:val="003F4088"/>
    <w:rsid w:val="003F50B7"/>
    <w:rsid w:val="003F5224"/>
    <w:rsid w:val="003F52A3"/>
    <w:rsid w:val="003F58E9"/>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5E9"/>
    <w:rsid w:val="0041496A"/>
    <w:rsid w:val="00414D72"/>
    <w:rsid w:val="00415057"/>
    <w:rsid w:val="00415417"/>
    <w:rsid w:val="00415492"/>
    <w:rsid w:val="00415A6E"/>
    <w:rsid w:val="00417690"/>
    <w:rsid w:val="00417901"/>
    <w:rsid w:val="00417A7D"/>
    <w:rsid w:val="00417B1D"/>
    <w:rsid w:val="00417CF4"/>
    <w:rsid w:val="00417F08"/>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6349"/>
    <w:rsid w:val="00447AA8"/>
    <w:rsid w:val="00447B5D"/>
    <w:rsid w:val="00450186"/>
    <w:rsid w:val="004508A2"/>
    <w:rsid w:val="0045128A"/>
    <w:rsid w:val="00451652"/>
    <w:rsid w:val="004516B5"/>
    <w:rsid w:val="004528CD"/>
    <w:rsid w:val="00452DE2"/>
    <w:rsid w:val="004531FA"/>
    <w:rsid w:val="00453DF0"/>
    <w:rsid w:val="0045465A"/>
    <w:rsid w:val="00454E17"/>
    <w:rsid w:val="004556C6"/>
    <w:rsid w:val="00455B80"/>
    <w:rsid w:val="00456123"/>
    <w:rsid w:val="00457F24"/>
    <w:rsid w:val="0046056B"/>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45C"/>
    <w:rsid w:val="00472550"/>
    <w:rsid w:val="00472F70"/>
    <w:rsid w:val="004733EF"/>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DE8"/>
    <w:rsid w:val="00485FBD"/>
    <w:rsid w:val="004864E9"/>
    <w:rsid w:val="004866B2"/>
    <w:rsid w:val="00486BE5"/>
    <w:rsid w:val="00486D04"/>
    <w:rsid w:val="00487E43"/>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5F8"/>
    <w:rsid w:val="004C1678"/>
    <w:rsid w:val="004C23BC"/>
    <w:rsid w:val="004C35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EEB"/>
    <w:rsid w:val="004F1388"/>
    <w:rsid w:val="004F2C03"/>
    <w:rsid w:val="004F332D"/>
    <w:rsid w:val="004F378F"/>
    <w:rsid w:val="004F5900"/>
    <w:rsid w:val="004F5DE7"/>
    <w:rsid w:val="004F658F"/>
    <w:rsid w:val="004F6D20"/>
    <w:rsid w:val="004F7706"/>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4909"/>
    <w:rsid w:val="00545BA6"/>
    <w:rsid w:val="005469BF"/>
    <w:rsid w:val="00547BAB"/>
    <w:rsid w:val="00547CAD"/>
    <w:rsid w:val="00547EFE"/>
    <w:rsid w:val="00550637"/>
    <w:rsid w:val="00551150"/>
    <w:rsid w:val="005514AB"/>
    <w:rsid w:val="00551BB1"/>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D24"/>
    <w:rsid w:val="00582E1E"/>
    <w:rsid w:val="00583B51"/>
    <w:rsid w:val="00583E1C"/>
    <w:rsid w:val="00585219"/>
    <w:rsid w:val="005856A5"/>
    <w:rsid w:val="005859AF"/>
    <w:rsid w:val="005860EB"/>
    <w:rsid w:val="0058780F"/>
    <w:rsid w:val="00587DBD"/>
    <w:rsid w:val="00587F19"/>
    <w:rsid w:val="0059108A"/>
    <w:rsid w:val="00591BFF"/>
    <w:rsid w:val="00591DCD"/>
    <w:rsid w:val="005921B1"/>
    <w:rsid w:val="005922CC"/>
    <w:rsid w:val="005924D3"/>
    <w:rsid w:val="00593438"/>
    <w:rsid w:val="00593857"/>
    <w:rsid w:val="00594058"/>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0"/>
    <w:rsid w:val="005A0907"/>
    <w:rsid w:val="005A0BB9"/>
    <w:rsid w:val="005A10C1"/>
    <w:rsid w:val="005A160B"/>
    <w:rsid w:val="005A2087"/>
    <w:rsid w:val="005A3C0E"/>
    <w:rsid w:val="005A4398"/>
    <w:rsid w:val="005A4774"/>
    <w:rsid w:val="005A519E"/>
    <w:rsid w:val="005A54E4"/>
    <w:rsid w:val="005A5C54"/>
    <w:rsid w:val="005A6892"/>
    <w:rsid w:val="005A6FB5"/>
    <w:rsid w:val="005A7AC4"/>
    <w:rsid w:val="005B0467"/>
    <w:rsid w:val="005B07A5"/>
    <w:rsid w:val="005B0AA6"/>
    <w:rsid w:val="005B10E0"/>
    <w:rsid w:val="005B2E06"/>
    <w:rsid w:val="005B2E6A"/>
    <w:rsid w:val="005B3707"/>
    <w:rsid w:val="005B4B1F"/>
    <w:rsid w:val="005B587D"/>
    <w:rsid w:val="005B665B"/>
    <w:rsid w:val="005B6E64"/>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6D32"/>
    <w:rsid w:val="005D7AD9"/>
    <w:rsid w:val="005D7D4B"/>
    <w:rsid w:val="005E15F0"/>
    <w:rsid w:val="005E1A32"/>
    <w:rsid w:val="005E20FF"/>
    <w:rsid w:val="005E25FA"/>
    <w:rsid w:val="005E2673"/>
    <w:rsid w:val="005E2ACB"/>
    <w:rsid w:val="005E32BE"/>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10010"/>
    <w:rsid w:val="00610D83"/>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47006"/>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22AF"/>
    <w:rsid w:val="006622C7"/>
    <w:rsid w:val="006625C8"/>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132"/>
    <w:rsid w:val="006E3B9D"/>
    <w:rsid w:val="006E462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717"/>
    <w:rsid w:val="0072273E"/>
    <w:rsid w:val="00723633"/>
    <w:rsid w:val="007243E2"/>
    <w:rsid w:val="00724477"/>
    <w:rsid w:val="007244DB"/>
    <w:rsid w:val="00724DE2"/>
    <w:rsid w:val="00724E68"/>
    <w:rsid w:val="0072567F"/>
    <w:rsid w:val="00725D0A"/>
    <w:rsid w:val="007263BE"/>
    <w:rsid w:val="007272B5"/>
    <w:rsid w:val="007279D2"/>
    <w:rsid w:val="00730C64"/>
    <w:rsid w:val="00731D95"/>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301"/>
    <w:rsid w:val="00747FBE"/>
    <w:rsid w:val="0075145C"/>
    <w:rsid w:val="007514B4"/>
    <w:rsid w:val="007521C4"/>
    <w:rsid w:val="0075252F"/>
    <w:rsid w:val="00752B3F"/>
    <w:rsid w:val="00752EBA"/>
    <w:rsid w:val="007535EB"/>
    <w:rsid w:val="00755381"/>
    <w:rsid w:val="007557D6"/>
    <w:rsid w:val="007562B5"/>
    <w:rsid w:val="007562CB"/>
    <w:rsid w:val="00756C59"/>
    <w:rsid w:val="00757A16"/>
    <w:rsid w:val="007604AE"/>
    <w:rsid w:val="00760975"/>
    <w:rsid w:val="00760B5C"/>
    <w:rsid w:val="007610F2"/>
    <w:rsid w:val="00761B7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3363"/>
    <w:rsid w:val="00784E84"/>
    <w:rsid w:val="00784FFD"/>
    <w:rsid w:val="00785F93"/>
    <w:rsid w:val="0078792B"/>
    <w:rsid w:val="007908CC"/>
    <w:rsid w:val="007912EA"/>
    <w:rsid w:val="0079150C"/>
    <w:rsid w:val="007919F2"/>
    <w:rsid w:val="00791A1C"/>
    <w:rsid w:val="00791B2C"/>
    <w:rsid w:val="007926B3"/>
    <w:rsid w:val="00792815"/>
    <w:rsid w:val="00793457"/>
    <w:rsid w:val="00793EFB"/>
    <w:rsid w:val="0079576B"/>
    <w:rsid w:val="00795FE0"/>
    <w:rsid w:val="00796763"/>
    <w:rsid w:val="00797639"/>
    <w:rsid w:val="00797724"/>
    <w:rsid w:val="007977AC"/>
    <w:rsid w:val="007A0D06"/>
    <w:rsid w:val="007A2895"/>
    <w:rsid w:val="007A3755"/>
    <w:rsid w:val="007A3DE1"/>
    <w:rsid w:val="007A4D62"/>
    <w:rsid w:val="007A4DCF"/>
    <w:rsid w:val="007A5D61"/>
    <w:rsid w:val="007A632A"/>
    <w:rsid w:val="007A734A"/>
    <w:rsid w:val="007A7676"/>
    <w:rsid w:val="007A7E57"/>
    <w:rsid w:val="007B1179"/>
    <w:rsid w:val="007B2031"/>
    <w:rsid w:val="007B22D2"/>
    <w:rsid w:val="007B2451"/>
    <w:rsid w:val="007B2802"/>
    <w:rsid w:val="007B41B5"/>
    <w:rsid w:val="007B426F"/>
    <w:rsid w:val="007B47AC"/>
    <w:rsid w:val="007B4D91"/>
    <w:rsid w:val="007B58E3"/>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9F0"/>
    <w:rsid w:val="007C7CD2"/>
    <w:rsid w:val="007C7DFE"/>
    <w:rsid w:val="007C7F36"/>
    <w:rsid w:val="007D3323"/>
    <w:rsid w:val="007D46EE"/>
    <w:rsid w:val="007D4AF8"/>
    <w:rsid w:val="007D5207"/>
    <w:rsid w:val="007D5D99"/>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76F3"/>
    <w:rsid w:val="007E7855"/>
    <w:rsid w:val="007E7EC0"/>
    <w:rsid w:val="007F198D"/>
    <w:rsid w:val="007F1AAE"/>
    <w:rsid w:val="007F238D"/>
    <w:rsid w:val="007F3BF4"/>
    <w:rsid w:val="007F5DE0"/>
    <w:rsid w:val="007F5E47"/>
    <w:rsid w:val="007F6395"/>
    <w:rsid w:val="007F7B26"/>
    <w:rsid w:val="0080049F"/>
    <w:rsid w:val="00800D00"/>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609"/>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C5F"/>
    <w:rsid w:val="00821FA9"/>
    <w:rsid w:val="008222CA"/>
    <w:rsid w:val="00822383"/>
    <w:rsid w:val="00822E06"/>
    <w:rsid w:val="0082396C"/>
    <w:rsid w:val="00823FFC"/>
    <w:rsid w:val="008248C4"/>
    <w:rsid w:val="00825E86"/>
    <w:rsid w:val="00825ECC"/>
    <w:rsid w:val="00826252"/>
    <w:rsid w:val="00826566"/>
    <w:rsid w:val="008265D0"/>
    <w:rsid w:val="0082687F"/>
    <w:rsid w:val="00826DED"/>
    <w:rsid w:val="00827847"/>
    <w:rsid w:val="008302F1"/>
    <w:rsid w:val="00830B22"/>
    <w:rsid w:val="00830D94"/>
    <w:rsid w:val="00830FE3"/>
    <w:rsid w:val="0083191E"/>
    <w:rsid w:val="00831DEC"/>
    <w:rsid w:val="008327F9"/>
    <w:rsid w:val="00832B33"/>
    <w:rsid w:val="00832B9F"/>
    <w:rsid w:val="0083382A"/>
    <w:rsid w:val="00834907"/>
    <w:rsid w:val="00834A66"/>
    <w:rsid w:val="00834B5A"/>
    <w:rsid w:val="0083609F"/>
    <w:rsid w:val="00837D90"/>
    <w:rsid w:val="00837F74"/>
    <w:rsid w:val="0084062F"/>
    <w:rsid w:val="008408A2"/>
    <w:rsid w:val="00840E5D"/>
    <w:rsid w:val="0084119C"/>
    <w:rsid w:val="008411C3"/>
    <w:rsid w:val="00841505"/>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A15"/>
    <w:rsid w:val="00850F64"/>
    <w:rsid w:val="00852144"/>
    <w:rsid w:val="00852178"/>
    <w:rsid w:val="00852B6C"/>
    <w:rsid w:val="00854B02"/>
    <w:rsid w:val="008551DC"/>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7210E"/>
    <w:rsid w:val="0087212E"/>
    <w:rsid w:val="008725B4"/>
    <w:rsid w:val="00872A46"/>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AE1"/>
    <w:rsid w:val="008B5A60"/>
    <w:rsid w:val="008B5EA5"/>
    <w:rsid w:val="008B7300"/>
    <w:rsid w:val="008C0858"/>
    <w:rsid w:val="008C0E70"/>
    <w:rsid w:val="008C1506"/>
    <w:rsid w:val="008C258C"/>
    <w:rsid w:val="008C2707"/>
    <w:rsid w:val="008C33BB"/>
    <w:rsid w:val="008C3D20"/>
    <w:rsid w:val="008C3D2D"/>
    <w:rsid w:val="008C3EB2"/>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5A9E"/>
    <w:rsid w:val="008E65F7"/>
    <w:rsid w:val="008E6B4A"/>
    <w:rsid w:val="008E75DC"/>
    <w:rsid w:val="008F04CB"/>
    <w:rsid w:val="008F0F55"/>
    <w:rsid w:val="008F1D26"/>
    <w:rsid w:val="008F411A"/>
    <w:rsid w:val="008F5140"/>
    <w:rsid w:val="008F56C2"/>
    <w:rsid w:val="008F5951"/>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A5C"/>
    <w:rsid w:val="00911BD3"/>
    <w:rsid w:val="00911DE5"/>
    <w:rsid w:val="009125CF"/>
    <w:rsid w:val="00912A81"/>
    <w:rsid w:val="00914CDC"/>
    <w:rsid w:val="009152FC"/>
    <w:rsid w:val="0091566F"/>
    <w:rsid w:val="0091591D"/>
    <w:rsid w:val="00915CB6"/>
    <w:rsid w:val="009164AA"/>
    <w:rsid w:val="00916B48"/>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300E5"/>
    <w:rsid w:val="009306F7"/>
    <w:rsid w:val="00931428"/>
    <w:rsid w:val="009331F3"/>
    <w:rsid w:val="00933BE4"/>
    <w:rsid w:val="00933DBA"/>
    <w:rsid w:val="00933FC9"/>
    <w:rsid w:val="00934C07"/>
    <w:rsid w:val="0093593F"/>
    <w:rsid w:val="0093615E"/>
    <w:rsid w:val="009365C0"/>
    <w:rsid w:val="009365D4"/>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EDC"/>
    <w:rsid w:val="009547A0"/>
    <w:rsid w:val="00955153"/>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6483"/>
    <w:rsid w:val="00996E13"/>
    <w:rsid w:val="009A1188"/>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EDB"/>
    <w:rsid w:val="009B54D4"/>
    <w:rsid w:val="009B59CE"/>
    <w:rsid w:val="009B5C93"/>
    <w:rsid w:val="009B67CE"/>
    <w:rsid w:val="009B68CD"/>
    <w:rsid w:val="009B6CA3"/>
    <w:rsid w:val="009B71CE"/>
    <w:rsid w:val="009B745F"/>
    <w:rsid w:val="009B776A"/>
    <w:rsid w:val="009B783D"/>
    <w:rsid w:val="009C10FE"/>
    <w:rsid w:val="009C2769"/>
    <w:rsid w:val="009C33A9"/>
    <w:rsid w:val="009C34AF"/>
    <w:rsid w:val="009C35E0"/>
    <w:rsid w:val="009C38AC"/>
    <w:rsid w:val="009C3CC6"/>
    <w:rsid w:val="009C477B"/>
    <w:rsid w:val="009C4AC7"/>
    <w:rsid w:val="009C4F32"/>
    <w:rsid w:val="009C58B5"/>
    <w:rsid w:val="009C5952"/>
    <w:rsid w:val="009C5D2F"/>
    <w:rsid w:val="009C5E49"/>
    <w:rsid w:val="009C6B2A"/>
    <w:rsid w:val="009C728B"/>
    <w:rsid w:val="009C7350"/>
    <w:rsid w:val="009C7E40"/>
    <w:rsid w:val="009D0131"/>
    <w:rsid w:val="009D1187"/>
    <w:rsid w:val="009D13CF"/>
    <w:rsid w:val="009D146E"/>
    <w:rsid w:val="009D1847"/>
    <w:rsid w:val="009D1C72"/>
    <w:rsid w:val="009D2134"/>
    <w:rsid w:val="009D22B4"/>
    <w:rsid w:val="009D2D98"/>
    <w:rsid w:val="009D348A"/>
    <w:rsid w:val="009D38F9"/>
    <w:rsid w:val="009D40CA"/>
    <w:rsid w:val="009D41C7"/>
    <w:rsid w:val="009D483F"/>
    <w:rsid w:val="009D54C1"/>
    <w:rsid w:val="009D54DD"/>
    <w:rsid w:val="009D5A79"/>
    <w:rsid w:val="009D5BAD"/>
    <w:rsid w:val="009D7141"/>
    <w:rsid w:val="009D7191"/>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DA9"/>
    <w:rsid w:val="009E55A5"/>
    <w:rsid w:val="009E5B6A"/>
    <w:rsid w:val="009E6001"/>
    <w:rsid w:val="009E68EC"/>
    <w:rsid w:val="009F03D2"/>
    <w:rsid w:val="009F0895"/>
    <w:rsid w:val="009F09C5"/>
    <w:rsid w:val="009F0B3E"/>
    <w:rsid w:val="009F0C6F"/>
    <w:rsid w:val="009F1183"/>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6E6"/>
    <w:rsid w:val="00A35832"/>
    <w:rsid w:val="00A35FBB"/>
    <w:rsid w:val="00A37994"/>
    <w:rsid w:val="00A37A3E"/>
    <w:rsid w:val="00A40407"/>
    <w:rsid w:val="00A41AC8"/>
    <w:rsid w:val="00A42521"/>
    <w:rsid w:val="00A42615"/>
    <w:rsid w:val="00A42636"/>
    <w:rsid w:val="00A439A3"/>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2EE6"/>
    <w:rsid w:val="00A833D7"/>
    <w:rsid w:val="00A8340E"/>
    <w:rsid w:val="00A8366D"/>
    <w:rsid w:val="00A837AB"/>
    <w:rsid w:val="00A837E4"/>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303A"/>
    <w:rsid w:val="00A93453"/>
    <w:rsid w:val="00A94115"/>
    <w:rsid w:val="00A941A2"/>
    <w:rsid w:val="00A94D3A"/>
    <w:rsid w:val="00A9581E"/>
    <w:rsid w:val="00A959DF"/>
    <w:rsid w:val="00A95D54"/>
    <w:rsid w:val="00A96A41"/>
    <w:rsid w:val="00A96D07"/>
    <w:rsid w:val="00AA0245"/>
    <w:rsid w:val="00AA02FB"/>
    <w:rsid w:val="00AA08B1"/>
    <w:rsid w:val="00AA0C4B"/>
    <w:rsid w:val="00AA104D"/>
    <w:rsid w:val="00AA13C8"/>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271"/>
    <w:rsid w:val="00AB0668"/>
    <w:rsid w:val="00AB06A0"/>
    <w:rsid w:val="00AB0B86"/>
    <w:rsid w:val="00AB0CCE"/>
    <w:rsid w:val="00AB108B"/>
    <w:rsid w:val="00AB138D"/>
    <w:rsid w:val="00AB15B3"/>
    <w:rsid w:val="00AB17B1"/>
    <w:rsid w:val="00AB25F9"/>
    <w:rsid w:val="00AB2AE1"/>
    <w:rsid w:val="00AB2EC6"/>
    <w:rsid w:val="00AB4074"/>
    <w:rsid w:val="00AB463A"/>
    <w:rsid w:val="00AB4AB3"/>
    <w:rsid w:val="00AB4C78"/>
    <w:rsid w:val="00AB4FA1"/>
    <w:rsid w:val="00AB58BC"/>
    <w:rsid w:val="00AB58F3"/>
    <w:rsid w:val="00AB6C4A"/>
    <w:rsid w:val="00AB6DF8"/>
    <w:rsid w:val="00AB7651"/>
    <w:rsid w:val="00AB78D4"/>
    <w:rsid w:val="00AC0313"/>
    <w:rsid w:val="00AC117A"/>
    <w:rsid w:val="00AC1184"/>
    <w:rsid w:val="00AC1F86"/>
    <w:rsid w:val="00AC3043"/>
    <w:rsid w:val="00AC38C1"/>
    <w:rsid w:val="00AC3907"/>
    <w:rsid w:val="00AC3BBF"/>
    <w:rsid w:val="00AC4078"/>
    <w:rsid w:val="00AC4FED"/>
    <w:rsid w:val="00AC5D60"/>
    <w:rsid w:val="00AC623C"/>
    <w:rsid w:val="00AC66C7"/>
    <w:rsid w:val="00AC7CBA"/>
    <w:rsid w:val="00AD26F1"/>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317C"/>
    <w:rsid w:val="00B14096"/>
    <w:rsid w:val="00B140C0"/>
    <w:rsid w:val="00B148D6"/>
    <w:rsid w:val="00B149A2"/>
    <w:rsid w:val="00B1501C"/>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E06"/>
    <w:rsid w:val="00B40F92"/>
    <w:rsid w:val="00B4220F"/>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C77"/>
    <w:rsid w:val="00B96DA0"/>
    <w:rsid w:val="00B96FE2"/>
    <w:rsid w:val="00B97468"/>
    <w:rsid w:val="00BA02FD"/>
    <w:rsid w:val="00BA1317"/>
    <w:rsid w:val="00BA2042"/>
    <w:rsid w:val="00BA20A7"/>
    <w:rsid w:val="00BA23FA"/>
    <w:rsid w:val="00BA5099"/>
    <w:rsid w:val="00BA59DE"/>
    <w:rsid w:val="00BA5CA9"/>
    <w:rsid w:val="00BA5F12"/>
    <w:rsid w:val="00BA62B9"/>
    <w:rsid w:val="00BA720C"/>
    <w:rsid w:val="00BA79D3"/>
    <w:rsid w:val="00BA7A73"/>
    <w:rsid w:val="00BB0A08"/>
    <w:rsid w:val="00BB1748"/>
    <w:rsid w:val="00BB28A8"/>
    <w:rsid w:val="00BB3443"/>
    <w:rsid w:val="00BB3A59"/>
    <w:rsid w:val="00BB4694"/>
    <w:rsid w:val="00BB56AE"/>
    <w:rsid w:val="00BB5C36"/>
    <w:rsid w:val="00BB619B"/>
    <w:rsid w:val="00BC0564"/>
    <w:rsid w:val="00BC13A2"/>
    <w:rsid w:val="00BC1716"/>
    <w:rsid w:val="00BC1FB9"/>
    <w:rsid w:val="00BC2096"/>
    <w:rsid w:val="00BC2E47"/>
    <w:rsid w:val="00BC35F4"/>
    <w:rsid w:val="00BC3D52"/>
    <w:rsid w:val="00BC3E28"/>
    <w:rsid w:val="00BC3E2E"/>
    <w:rsid w:val="00BC44E3"/>
    <w:rsid w:val="00BC47D2"/>
    <w:rsid w:val="00BC57A0"/>
    <w:rsid w:val="00BC5AAA"/>
    <w:rsid w:val="00BC5D7A"/>
    <w:rsid w:val="00BC6004"/>
    <w:rsid w:val="00BC65CF"/>
    <w:rsid w:val="00BC69EC"/>
    <w:rsid w:val="00BC6EF3"/>
    <w:rsid w:val="00BC76A1"/>
    <w:rsid w:val="00BC782E"/>
    <w:rsid w:val="00BD0BC0"/>
    <w:rsid w:val="00BD0EB3"/>
    <w:rsid w:val="00BD0FB8"/>
    <w:rsid w:val="00BD1E8D"/>
    <w:rsid w:val="00BD3A8D"/>
    <w:rsid w:val="00BD3F90"/>
    <w:rsid w:val="00BD4ADE"/>
    <w:rsid w:val="00BD6AAE"/>
    <w:rsid w:val="00BD7090"/>
    <w:rsid w:val="00BD756C"/>
    <w:rsid w:val="00BD758B"/>
    <w:rsid w:val="00BD7CE1"/>
    <w:rsid w:val="00BD7F9C"/>
    <w:rsid w:val="00BE0007"/>
    <w:rsid w:val="00BE1B0D"/>
    <w:rsid w:val="00BE24E5"/>
    <w:rsid w:val="00BE37D5"/>
    <w:rsid w:val="00BE6BED"/>
    <w:rsid w:val="00BE6F8A"/>
    <w:rsid w:val="00BE751E"/>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CAA"/>
    <w:rsid w:val="00C326DE"/>
    <w:rsid w:val="00C326F8"/>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4EF2"/>
    <w:rsid w:val="00C7505D"/>
    <w:rsid w:val="00C7605C"/>
    <w:rsid w:val="00C7626E"/>
    <w:rsid w:val="00C76298"/>
    <w:rsid w:val="00C76537"/>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556"/>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3C3"/>
    <w:rsid w:val="00CC45A1"/>
    <w:rsid w:val="00CC5200"/>
    <w:rsid w:val="00CC6049"/>
    <w:rsid w:val="00CC691D"/>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5124"/>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411C"/>
    <w:rsid w:val="00D14558"/>
    <w:rsid w:val="00D158FE"/>
    <w:rsid w:val="00D15FDB"/>
    <w:rsid w:val="00D1632E"/>
    <w:rsid w:val="00D1654F"/>
    <w:rsid w:val="00D171E7"/>
    <w:rsid w:val="00D1789C"/>
    <w:rsid w:val="00D206CF"/>
    <w:rsid w:val="00D20E67"/>
    <w:rsid w:val="00D21E5F"/>
    <w:rsid w:val="00D235E6"/>
    <w:rsid w:val="00D23F87"/>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583E"/>
    <w:rsid w:val="00D35B76"/>
    <w:rsid w:val="00D35CBB"/>
    <w:rsid w:val="00D37391"/>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68C"/>
    <w:rsid w:val="00D6765B"/>
    <w:rsid w:val="00D677CC"/>
    <w:rsid w:val="00D678D5"/>
    <w:rsid w:val="00D67947"/>
    <w:rsid w:val="00D67FA4"/>
    <w:rsid w:val="00D7029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59DF"/>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3BF"/>
    <w:rsid w:val="00DC425C"/>
    <w:rsid w:val="00DC4402"/>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0C9A"/>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CCC"/>
    <w:rsid w:val="00E11F20"/>
    <w:rsid w:val="00E122C6"/>
    <w:rsid w:val="00E125B8"/>
    <w:rsid w:val="00E12CB1"/>
    <w:rsid w:val="00E12EEB"/>
    <w:rsid w:val="00E130A4"/>
    <w:rsid w:val="00E13162"/>
    <w:rsid w:val="00E132E5"/>
    <w:rsid w:val="00E134DE"/>
    <w:rsid w:val="00E13602"/>
    <w:rsid w:val="00E140B7"/>
    <w:rsid w:val="00E156F7"/>
    <w:rsid w:val="00E157D2"/>
    <w:rsid w:val="00E15A13"/>
    <w:rsid w:val="00E16817"/>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7B3"/>
    <w:rsid w:val="00E27378"/>
    <w:rsid w:val="00E27A0A"/>
    <w:rsid w:val="00E311B7"/>
    <w:rsid w:val="00E3127C"/>
    <w:rsid w:val="00E31D55"/>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AB"/>
    <w:rsid w:val="00E43804"/>
    <w:rsid w:val="00E4389F"/>
    <w:rsid w:val="00E43D26"/>
    <w:rsid w:val="00E43FA4"/>
    <w:rsid w:val="00E441BB"/>
    <w:rsid w:val="00E44B16"/>
    <w:rsid w:val="00E45B01"/>
    <w:rsid w:val="00E47AAE"/>
    <w:rsid w:val="00E47DFF"/>
    <w:rsid w:val="00E47E38"/>
    <w:rsid w:val="00E50321"/>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A9"/>
    <w:rsid w:val="00E70B3B"/>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81F"/>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6110"/>
    <w:rsid w:val="00EB7AAF"/>
    <w:rsid w:val="00EC01D1"/>
    <w:rsid w:val="00EC02C6"/>
    <w:rsid w:val="00EC05B3"/>
    <w:rsid w:val="00EC0DFB"/>
    <w:rsid w:val="00EC1E2D"/>
    <w:rsid w:val="00EC2374"/>
    <w:rsid w:val="00EC2A59"/>
    <w:rsid w:val="00EC3518"/>
    <w:rsid w:val="00EC430F"/>
    <w:rsid w:val="00EC4A71"/>
    <w:rsid w:val="00EC4BB6"/>
    <w:rsid w:val="00EC4FE5"/>
    <w:rsid w:val="00EC541E"/>
    <w:rsid w:val="00EC722D"/>
    <w:rsid w:val="00EC7E5D"/>
    <w:rsid w:val="00ED0176"/>
    <w:rsid w:val="00ED098A"/>
    <w:rsid w:val="00ED11DE"/>
    <w:rsid w:val="00ED1659"/>
    <w:rsid w:val="00ED17DF"/>
    <w:rsid w:val="00ED1928"/>
    <w:rsid w:val="00ED1A44"/>
    <w:rsid w:val="00ED2505"/>
    <w:rsid w:val="00ED329B"/>
    <w:rsid w:val="00ED3AA3"/>
    <w:rsid w:val="00ED3DA1"/>
    <w:rsid w:val="00ED3F06"/>
    <w:rsid w:val="00ED41CD"/>
    <w:rsid w:val="00ED4227"/>
    <w:rsid w:val="00ED4DB0"/>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42F"/>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747"/>
    <w:rsid w:val="00F0762C"/>
    <w:rsid w:val="00F07EED"/>
    <w:rsid w:val="00F10EBF"/>
    <w:rsid w:val="00F1233C"/>
    <w:rsid w:val="00F12ACC"/>
    <w:rsid w:val="00F1343D"/>
    <w:rsid w:val="00F1398B"/>
    <w:rsid w:val="00F1414E"/>
    <w:rsid w:val="00F14A32"/>
    <w:rsid w:val="00F14D01"/>
    <w:rsid w:val="00F14E6E"/>
    <w:rsid w:val="00F156C9"/>
    <w:rsid w:val="00F1594C"/>
    <w:rsid w:val="00F15AD0"/>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FB0"/>
    <w:rsid w:val="00F24107"/>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AB2"/>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68E2"/>
    <w:rsid w:val="00F76FC9"/>
    <w:rsid w:val="00F7722F"/>
    <w:rsid w:val="00F772CB"/>
    <w:rsid w:val="00F77A9A"/>
    <w:rsid w:val="00F801AD"/>
    <w:rsid w:val="00F80CB0"/>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078A"/>
    <w:rsid w:val="00FA09C6"/>
    <w:rsid w:val="00FA1A16"/>
    <w:rsid w:val="00FA1E63"/>
    <w:rsid w:val="00FA1EED"/>
    <w:rsid w:val="00FA2653"/>
    <w:rsid w:val="00FA2953"/>
    <w:rsid w:val="00FA2BB3"/>
    <w:rsid w:val="00FA3984"/>
    <w:rsid w:val="00FA59CA"/>
    <w:rsid w:val="00FA6261"/>
    <w:rsid w:val="00FA69BF"/>
    <w:rsid w:val="00FA6E77"/>
    <w:rsid w:val="00FB0949"/>
    <w:rsid w:val="00FB0F60"/>
    <w:rsid w:val="00FB349A"/>
    <w:rsid w:val="00FB361D"/>
    <w:rsid w:val="00FB39DC"/>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58FE-FB90-4E50-9410-79E3C439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(Yitao-Mo)</cp:lastModifiedBy>
  <cp:revision>2813</cp:revision>
  <cp:lastPrinted>2018-04-04T09:40:00Z</cp:lastPrinted>
  <dcterms:created xsi:type="dcterms:W3CDTF">2018-11-01T12:39:00Z</dcterms:created>
  <dcterms:modified xsi:type="dcterms:W3CDTF">2020-02-14T05:34:00Z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